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="170"/>
        <w:tblW w:w="595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93"/>
        <w:gridCol w:w="1686"/>
        <w:gridCol w:w="1348"/>
        <w:gridCol w:w="1417"/>
        <w:gridCol w:w="1316"/>
        <w:gridCol w:w="1668"/>
        <w:gridCol w:w="1074"/>
        <w:gridCol w:w="677"/>
        <w:gridCol w:w="2640"/>
      </w:tblGrid>
      <w:tr w:rsidR="00D100CC" w:rsidRPr="00D100CC" w14:paraId="54C49A24" w14:textId="77777777" w:rsidTr="00D100CC">
        <w:trPr>
          <w:trHeight w:val="262"/>
        </w:trPr>
        <w:tc>
          <w:tcPr>
            <w:tcW w:w="5000" w:type="pct"/>
            <w:gridSpan w:val="9"/>
            <w:shd w:val="clear" w:color="auto" w:fill="D4A201"/>
          </w:tcPr>
          <w:p w14:paraId="56D216E1" w14:textId="41698FF8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bookmarkStart w:id="0" w:name="_GoBack"/>
            <w:bookmarkEnd w:id="0"/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>Etapa 6 – Oficina de Planejamento com Secretarias Municipais</w:t>
            </w:r>
          </w:p>
        </w:tc>
      </w:tr>
      <w:tr w:rsidR="00D100CC" w:rsidRPr="00D100CC" w14:paraId="425DDEA9" w14:textId="77777777" w:rsidTr="00D100CC">
        <w:trPr>
          <w:trHeight w:val="262"/>
        </w:trPr>
        <w:tc>
          <w:tcPr>
            <w:tcW w:w="5000" w:type="pct"/>
            <w:gridSpan w:val="9"/>
            <w:shd w:val="clear" w:color="auto" w:fill="D4A201"/>
          </w:tcPr>
          <w:p w14:paraId="155A4035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D100CC" w:rsidRPr="00D100CC" w14:paraId="586C8212" w14:textId="77777777" w:rsidTr="00D100CC">
        <w:trPr>
          <w:trHeight w:val="262"/>
        </w:trPr>
        <w:tc>
          <w:tcPr>
            <w:tcW w:w="561" w:type="pct"/>
            <w:vMerge w:val="restart"/>
            <w:shd w:val="clear" w:color="auto" w:fill="auto"/>
          </w:tcPr>
          <w:p w14:paraId="2633D615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</w:p>
          <w:p w14:paraId="2DA8B18E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57BF7ED" wp14:editId="4FE2F725">
                  <wp:extent cx="667910" cy="620202"/>
                  <wp:effectExtent l="0" t="0" r="0" b="8890"/>
                  <wp:docPr id="2" name="Imagem 2" descr="Z:\0PROADI_PlanificaSUS_Triênio_2021_2023\Práticas Assistenciais\Banco de Imagens\Ciclo PDSA\Ciclo PDSA_3-estud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Z:\0PROADI_PlanificaSUS_Triênio_2021_2023\Práticas Assistenciais\Banco de Imagens\Ciclo PDSA\Ciclo PDSA_3-estuda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7" cy="6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3BB06AD4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2055" w:type="pct"/>
            <w:gridSpan w:val="4"/>
            <w:shd w:val="clear" w:color="auto" w:fill="auto"/>
          </w:tcPr>
          <w:p w14:paraId="79FF2379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245" w:type="pct"/>
            <w:gridSpan w:val="2"/>
            <w:shd w:val="clear" w:color="auto" w:fill="auto"/>
          </w:tcPr>
          <w:p w14:paraId="4C00DEB4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D100CC" w:rsidRPr="00D100CC" w14:paraId="27BB0551" w14:textId="77777777" w:rsidTr="00D100CC">
        <w:trPr>
          <w:trHeight w:val="551"/>
        </w:trPr>
        <w:tc>
          <w:tcPr>
            <w:tcW w:w="561" w:type="pct"/>
            <w:vMerge/>
          </w:tcPr>
          <w:p w14:paraId="55C6CED8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vMerge w:val="restart"/>
            <w:shd w:val="clear" w:color="auto" w:fill="auto"/>
          </w:tcPr>
          <w:p w14:paraId="46FA1A4C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1: Monitoramento do plano de ação (Responsável: RT estadual)</w:t>
            </w:r>
          </w:p>
          <w:p w14:paraId="03CFA9AF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0AD4A68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30 minutos</w:t>
            </w:r>
          </w:p>
          <w:p w14:paraId="230C5B96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55" w:type="pct"/>
            <w:gridSpan w:val="4"/>
            <w:shd w:val="clear" w:color="auto" w:fill="auto"/>
          </w:tcPr>
          <w:p w14:paraId="2C22613C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Revisitar as ações do plano de ação pactuadas nas etapas anteriores. Apresentar atividades realizadas a partir do último plano de ação, atentar-se ao cumprimento do prazo, conformidade com o planejado, avaliação do resultado ou produto elaborado e registro.</w:t>
            </w:r>
          </w:p>
        </w:tc>
        <w:tc>
          <w:tcPr>
            <w:tcW w:w="1245" w:type="pct"/>
            <w:gridSpan w:val="2"/>
            <w:vMerge w:val="restart"/>
            <w:shd w:val="clear" w:color="auto" w:fill="auto"/>
          </w:tcPr>
          <w:p w14:paraId="3DF9092C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PowerPoint® Padrão</w:t>
            </w:r>
          </w:p>
          <w:p w14:paraId="15E1B6AD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F29CE96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Plano de Ação – Gestão Municipal</w:t>
            </w:r>
          </w:p>
          <w:p w14:paraId="51E70BC2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100CC" w:rsidRPr="00D100CC" w14:paraId="3380001B" w14:textId="77777777" w:rsidTr="00D100CC">
        <w:trPr>
          <w:trHeight w:val="598"/>
        </w:trPr>
        <w:tc>
          <w:tcPr>
            <w:tcW w:w="561" w:type="pct"/>
            <w:vMerge/>
          </w:tcPr>
          <w:p w14:paraId="4CC7C739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vMerge/>
          </w:tcPr>
          <w:p w14:paraId="2732A489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55" w:type="pct"/>
            <w:gridSpan w:val="4"/>
            <w:shd w:val="clear" w:color="auto" w:fill="auto"/>
          </w:tcPr>
          <w:p w14:paraId="5CDED28A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Identificar ações não realizadas, parcialmente ou totalmente, discutir a justificativa do não cumprimento, investigar possíveis fatores causais e direcioná-los para o plano de ação que será acordado no final da oficina vigente, confirmando a necessidade da ação planejada e definindo novo prazo.</w:t>
            </w:r>
          </w:p>
          <w:p w14:paraId="6B3FEFDE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EE1FB88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Analisar a utilização do e-Planifica para monitoramento da PAS.</w:t>
            </w:r>
          </w:p>
          <w:p w14:paraId="0E7B48D5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45" w:type="pct"/>
            <w:gridSpan w:val="2"/>
            <w:vMerge/>
          </w:tcPr>
          <w:p w14:paraId="2AA5BE3D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100CC" w:rsidRPr="00D100CC" w14:paraId="110A11F3" w14:textId="77777777" w:rsidTr="00D100CC">
        <w:trPr>
          <w:trHeight w:val="598"/>
        </w:trPr>
        <w:tc>
          <w:tcPr>
            <w:tcW w:w="561" w:type="pct"/>
            <w:vMerge/>
          </w:tcPr>
          <w:p w14:paraId="5090CC65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vMerge/>
          </w:tcPr>
          <w:p w14:paraId="5DFE2E8F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55" w:type="pct"/>
            <w:gridSpan w:val="4"/>
            <w:shd w:val="clear" w:color="auto" w:fill="auto"/>
          </w:tcPr>
          <w:p w14:paraId="7B4D050E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Analisar os indicadores de saúde do município, com ênfase nos indicadores do Previne-Brasil e SISPACTO.</w:t>
            </w:r>
          </w:p>
        </w:tc>
        <w:tc>
          <w:tcPr>
            <w:tcW w:w="1245" w:type="pct"/>
            <w:gridSpan w:val="2"/>
            <w:vMerge/>
          </w:tcPr>
          <w:p w14:paraId="54C7D382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D100CC" w:rsidRPr="00D100CC" w14:paraId="43C3CB4C" w14:textId="77777777" w:rsidTr="00D100CC">
        <w:trPr>
          <w:trHeight w:val="262"/>
        </w:trPr>
        <w:tc>
          <w:tcPr>
            <w:tcW w:w="5000" w:type="pct"/>
            <w:gridSpan w:val="9"/>
            <w:shd w:val="clear" w:color="auto" w:fill="D4A201"/>
          </w:tcPr>
          <w:p w14:paraId="4A5F4416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>Planejar (P)</w:t>
            </w:r>
          </w:p>
        </w:tc>
      </w:tr>
      <w:tr w:rsidR="00D100CC" w:rsidRPr="00D100CC" w14:paraId="0CDFC016" w14:textId="77777777" w:rsidTr="00D100CC">
        <w:trPr>
          <w:trHeight w:val="262"/>
        </w:trPr>
        <w:tc>
          <w:tcPr>
            <w:tcW w:w="561" w:type="pct"/>
            <w:vMerge w:val="restart"/>
            <w:shd w:val="clear" w:color="auto" w:fill="FFFFFF" w:themeFill="background1"/>
          </w:tcPr>
          <w:p w14:paraId="495AEB24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P</w:t>
            </w:r>
          </w:p>
          <w:p w14:paraId="3FFB9753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1301B2F" wp14:editId="3D8FC49F">
                  <wp:extent cx="652007" cy="652007"/>
                  <wp:effectExtent l="0" t="0" r="0" b="0"/>
                  <wp:docPr id="66" name="Imagem 66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pct"/>
            <w:gridSpan w:val="2"/>
            <w:shd w:val="clear" w:color="auto" w:fill="FFFFFF" w:themeFill="background1"/>
          </w:tcPr>
          <w:p w14:paraId="31E91D6D" w14:textId="77777777" w:rsidR="00D100CC" w:rsidRPr="00D100CC" w:rsidRDefault="00D100CC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571AA302" w14:textId="77777777" w:rsidR="00D100CC" w:rsidRPr="00D100CC" w:rsidRDefault="00D100CC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245" w:type="pct"/>
            <w:gridSpan w:val="2"/>
            <w:shd w:val="clear" w:color="auto" w:fill="FFFFFF" w:themeFill="background1"/>
          </w:tcPr>
          <w:p w14:paraId="33EC5759" w14:textId="77777777" w:rsidR="00D100CC" w:rsidRPr="00D100CC" w:rsidRDefault="00D100CC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D100CC" w:rsidRPr="00D100CC" w14:paraId="53B5C38B" w14:textId="77777777" w:rsidTr="00D100CC">
        <w:trPr>
          <w:trHeight w:val="262"/>
        </w:trPr>
        <w:tc>
          <w:tcPr>
            <w:tcW w:w="561" w:type="pct"/>
            <w:vMerge/>
          </w:tcPr>
          <w:p w14:paraId="7ED8BBCB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vMerge w:val="restart"/>
            <w:shd w:val="clear" w:color="auto" w:fill="FFFFFF" w:themeFill="background1"/>
          </w:tcPr>
          <w:p w14:paraId="5BA9569A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Apresentação da Etapa 6 </w:t>
            </w:r>
            <w:r w:rsidRPr="00D100CC"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</w:rPr>
              <w:t>(Responsável: Consultor ou consultora e RT estadual)</w:t>
            </w:r>
          </w:p>
          <w:p w14:paraId="0A6C3587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44E3EE0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8CF1879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3BEAD8F6" w14:textId="77777777" w:rsidR="00D100CC" w:rsidRPr="00D100CC" w:rsidRDefault="00D100CC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breve da Etapa 6 e discussão da necessidade de customização da proposta padrão apresentada.</w:t>
            </w:r>
          </w:p>
        </w:tc>
        <w:tc>
          <w:tcPr>
            <w:tcW w:w="1245" w:type="pct"/>
            <w:gridSpan w:val="2"/>
            <w:vMerge w:val="restart"/>
            <w:shd w:val="clear" w:color="auto" w:fill="FFFFFF" w:themeFill="background1"/>
          </w:tcPr>
          <w:p w14:paraId="3B922AB6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717D5DAF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17FED0B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2A7D6B2A" w14:textId="77777777" w:rsidTr="00D100CC">
        <w:trPr>
          <w:trHeight w:val="262"/>
        </w:trPr>
        <w:tc>
          <w:tcPr>
            <w:tcW w:w="561" w:type="pct"/>
            <w:vMerge/>
          </w:tcPr>
          <w:p w14:paraId="7F1B91C5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vMerge/>
          </w:tcPr>
          <w:p w14:paraId="5FB43072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1EB36540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Revisitar </w:t>
            </w:r>
            <w:r w:rsidRPr="00D100CC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status</w:t>
            </w: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das etapas anteriores de maneira geral, buscando ampliar a análise da situação do projeto com vistas a continuidade do projeto e o processo de expansão.</w:t>
            </w:r>
          </w:p>
        </w:tc>
        <w:tc>
          <w:tcPr>
            <w:tcW w:w="1245" w:type="pct"/>
            <w:gridSpan w:val="2"/>
            <w:vMerge/>
          </w:tcPr>
          <w:p w14:paraId="634007F0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13245F89" w14:textId="77777777" w:rsidTr="00D100CC">
        <w:trPr>
          <w:trHeight w:val="210"/>
        </w:trPr>
        <w:tc>
          <w:tcPr>
            <w:tcW w:w="561" w:type="pct"/>
            <w:vMerge/>
          </w:tcPr>
          <w:p w14:paraId="2884F018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shd w:val="clear" w:color="auto" w:fill="FFFFFF" w:themeFill="background1"/>
          </w:tcPr>
          <w:p w14:paraId="0EFB874A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Mobilização de recursos e atores para Etapa 6 (Responsável: RT estadual)</w:t>
            </w:r>
          </w:p>
          <w:p w14:paraId="6281C8B2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7FD31F4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7721696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30 minutos</w:t>
            </w:r>
          </w:p>
          <w:p w14:paraId="2ED95422" w14:textId="77777777" w:rsidR="00D100CC" w:rsidRPr="00D100CC" w:rsidRDefault="00D100CC" w:rsidP="006F5CEF">
            <w:pPr>
              <w:spacing w:before="12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627D5572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Checagem dos recursos e atores necessários para operacionalização da Etapa 6 para APS: Cronograma com previsão de proteção de agenda das equipes (reorganização das agendas de atendimentos e garantia que participem das atividades), itens importantes para viabilização do </w:t>
            </w:r>
            <w:r w:rsidRPr="00D100CC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Workshop</w:t>
            </w: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 oficina tutorial da Etapa 6, unidades em conformidade, tutores em conformidade, qualificação dos atores necessários para apoiar o processo de tutoria (EaD e acesso de materiais no e-Planifica) e preenchimento do Instrumento para Autoavaliação dos Macroprocessos da APS e AAE junto aos municípios.</w:t>
            </w:r>
          </w:p>
        </w:tc>
        <w:tc>
          <w:tcPr>
            <w:tcW w:w="1245" w:type="pct"/>
            <w:gridSpan w:val="2"/>
            <w:shd w:val="clear" w:color="auto" w:fill="FFFFFF" w:themeFill="background1"/>
          </w:tcPr>
          <w:p w14:paraId="7D43DFFC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PowerPoint® Padrão</w:t>
            </w:r>
          </w:p>
          <w:p w14:paraId="2FF4C421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C14E9F2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Instrumento para Autoavaliação dos Macroprocessos da APS </w:t>
            </w:r>
          </w:p>
          <w:p w14:paraId="295FDF74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E0C2640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7BEFCCA5" w14:textId="77777777" w:rsidTr="00D100CC">
        <w:trPr>
          <w:trHeight w:val="262"/>
        </w:trPr>
        <w:tc>
          <w:tcPr>
            <w:tcW w:w="561" w:type="pct"/>
            <w:vMerge/>
          </w:tcPr>
          <w:p w14:paraId="7571CF07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shd w:val="clear" w:color="auto" w:fill="FFFFFF" w:themeFill="background1"/>
            <w:vAlign w:val="center"/>
          </w:tcPr>
          <w:p w14:paraId="2A202B97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4: Sistemas de Informação em Saúde: monitoramento e avaliação</w:t>
            </w:r>
          </w:p>
          <w:p w14:paraId="2F351700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estadual)</w:t>
            </w:r>
          </w:p>
          <w:p w14:paraId="22C017FE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E653F91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4D4484C7" w14:textId="77777777" w:rsidR="00D100CC" w:rsidRPr="00D100CC" w:rsidRDefault="00D100CC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Levantamento dos Sistemas de Informação utilizados no município em diálogo com os indicadores do Previne Brasil e SISPACTO, análise e discussão do CNES, integração de sistemas de informações e e-SUS e integração de SI APS e AAE.</w:t>
            </w:r>
          </w:p>
        </w:tc>
        <w:tc>
          <w:tcPr>
            <w:tcW w:w="1245" w:type="pct"/>
            <w:gridSpan w:val="2"/>
            <w:shd w:val="clear" w:color="auto" w:fill="FFFFFF" w:themeFill="background1"/>
          </w:tcPr>
          <w:p w14:paraId="58A69DBC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PowerPoint® Padrão</w:t>
            </w:r>
          </w:p>
          <w:p w14:paraId="0AFE0E2A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F722511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para Avaliação dos Sistemas de Informação</w:t>
            </w:r>
          </w:p>
          <w:p w14:paraId="6904E5C6" w14:textId="77777777" w:rsidR="00D100CC" w:rsidRPr="00D100CC" w:rsidRDefault="00D100CC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10AE3FA1" w14:textId="77777777" w:rsidTr="00D100CC">
        <w:trPr>
          <w:trHeight w:val="262"/>
        </w:trPr>
        <w:tc>
          <w:tcPr>
            <w:tcW w:w="561" w:type="pct"/>
            <w:vMerge/>
          </w:tcPr>
          <w:p w14:paraId="398ACF7A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shd w:val="clear" w:color="auto" w:fill="FFFFFF" w:themeFill="background1"/>
            <w:vAlign w:val="center"/>
          </w:tcPr>
          <w:p w14:paraId="1D4646C7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5: Instrumento para Autoavaliação dos Macroprocessos</w:t>
            </w:r>
          </w:p>
          <w:p w14:paraId="2C15F066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0B4440E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estadual)</w:t>
            </w:r>
          </w:p>
          <w:p w14:paraId="7EA3C677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C01CD52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1C2EBA01" w14:textId="77777777" w:rsidR="00D100CC" w:rsidRPr="00D100CC" w:rsidRDefault="00D100CC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Apresentação do Instrumento para Autoavaliação dos Macroprocessos e organização do processo de trabalho para execução.</w:t>
            </w:r>
          </w:p>
        </w:tc>
        <w:tc>
          <w:tcPr>
            <w:tcW w:w="1245" w:type="pct"/>
            <w:gridSpan w:val="2"/>
            <w:shd w:val="clear" w:color="auto" w:fill="FFFFFF" w:themeFill="background1"/>
          </w:tcPr>
          <w:p w14:paraId="47A26B8A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</w:t>
            </w:r>
          </w:p>
          <w:p w14:paraId="3D04694C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D484C1E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Instrumento para Autoavaliação dos Macroprocessos</w:t>
            </w:r>
          </w:p>
          <w:p w14:paraId="099D0DFE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92E7CBF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Manual do Instrumento para Autoavaliação dos Macroprocessos </w:t>
            </w:r>
          </w:p>
          <w:p w14:paraId="3774A36C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18E59CF1" w14:textId="77777777" w:rsidTr="00D100CC">
        <w:trPr>
          <w:trHeight w:val="1660"/>
        </w:trPr>
        <w:tc>
          <w:tcPr>
            <w:tcW w:w="561" w:type="pct"/>
            <w:vMerge/>
          </w:tcPr>
          <w:p w14:paraId="07CBAB5B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139" w:type="pct"/>
            <w:gridSpan w:val="2"/>
            <w:shd w:val="clear" w:color="auto" w:fill="FFFFFF" w:themeFill="background1"/>
            <w:vAlign w:val="center"/>
          </w:tcPr>
          <w:p w14:paraId="2B796773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Atividade 6: Análise local e plano de ação </w:t>
            </w:r>
          </w:p>
          <w:p w14:paraId="6B8272C1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estadual)</w:t>
            </w:r>
          </w:p>
          <w:p w14:paraId="06793700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33FA93A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55" w:type="pct"/>
            <w:gridSpan w:val="4"/>
            <w:shd w:val="clear" w:color="auto" w:fill="FFFFFF" w:themeFill="background1"/>
          </w:tcPr>
          <w:p w14:paraId="6C4C190B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Realizar a análise local para identificar, investigar e priorizar problemas ou oportunidades de melhoria relacionadas à etapa. Utilizar o espaço destinado para a análise logo abaixo.</w:t>
            </w:r>
          </w:p>
          <w:p w14:paraId="3E69A851" w14:textId="77777777" w:rsidR="00D100CC" w:rsidRPr="00D100CC" w:rsidRDefault="00D100CC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45" w:type="pct"/>
            <w:gridSpan w:val="2"/>
            <w:shd w:val="clear" w:color="auto" w:fill="FFFFFF" w:themeFill="background1"/>
          </w:tcPr>
          <w:p w14:paraId="766B05DC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</w:t>
            </w:r>
          </w:p>
          <w:p w14:paraId="02CCD258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6AE328B" w14:textId="77777777" w:rsidR="00D100CC" w:rsidRPr="00D100CC" w:rsidRDefault="00D100CC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Padrão Plano de Ação - Gestão</w:t>
            </w:r>
          </w:p>
          <w:p w14:paraId="63D5B74B" w14:textId="77777777" w:rsidR="00D100CC" w:rsidRPr="00D100CC" w:rsidRDefault="00D100CC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0161C1B3" w14:textId="77777777" w:rsidTr="00D100CC">
        <w:trPr>
          <w:trHeight w:val="262"/>
        </w:trPr>
        <w:tc>
          <w:tcPr>
            <w:tcW w:w="561" w:type="pct"/>
            <w:vMerge/>
          </w:tcPr>
          <w:p w14:paraId="3BC298E7" w14:textId="77777777" w:rsidR="00D100CC" w:rsidRPr="00D100CC" w:rsidRDefault="00D100CC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4439" w:type="pct"/>
            <w:gridSpan w:val="8"/>
            <w:shd w:val="clear" w:color="auto" w:fill="D4A201"/>
          </w:tcPr>
          <w:p w14:paraId="3370971B" w14:textId="77777777" w:rsidR="00D100CC" w:rsidRPr="00D100CC" w:rsidRDefault="00D100CC" w:rsidP="00D100CC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>Análise Local</w:t>
            </w:r>
          </w:p>
        </w:tc>
      </w:tr>
      <w:tr w:rsidR="00D100CC" w:rsidRPr="00D100CC" w14:paraId="6BEA6389" w14:textId="77777777" w:rsidTr="00D100CC">
        <w:trPr>
          <w:trHeight w:val="458"/>
        </w:trPr>
        <w:tc>
          <w:tcPr>
            <w:tcW w:w="561" w:type="pct"/>
            <w:vMerge/>
          </w:tcPr>
          <w:p w14:paraId="1E50B02B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633" w:type="pct"/>
            <w:shd w:val="clear" w:color="auto" w:fill="auto"/>
          </w:tcPr>
          <w:p w14:paraId="188327AF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Situação atual</w:t>
            </w:r>
          </w:p>
        </w:tc>
        <w:tc>
          <w:tcPr>
            <w:tcW w:w="3806" w:type="pct"/>
            <w:gridSpan w:val="7"/>
            <w:shd w:val="clear" w:color="auto" w:fill="auto"/>
          </w:tcPr>
          <w:p w14:paraId="7A961D2E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(Diagnóstico identificado)</w:t>
            </w:r>
          </w:p>
        </w:tc>
      </w:tr>
      <w:tr w:rsidR="00D100CC" w:rsidRPr="00D100CC" w14:paraId="4C658E53" w14:textId="77777777" w:rsidTr="00D100CC">
        <w:trPr>
          <w:trHeight w:val="591"/>
        </w:trPr>
        <w:tc>
          <w:tcPr>
            <w:tcW w:w="561" w:type="pct"/>
            <w:vMerge/>
          </w:tcPr>
          <w:p w14:paraId="19F95DB5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auto"/>
          </w:tcPr>
          <w:p w14:paraId="0E8CA1A1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Análise (causa raiz)</w:t>
            </w:r>
          </w:p>
        </w:tc>
        <w:tc>
          <w:tcPr>
            <w:tcW w:w="3806" w:type="pct"/>
            <w:gridSpan w:val="7"/>
            <w:shd w:val="clear" w:color="auto" w:fill="auto"/>
          </w:tcPr>
          <w:p w14:paraId="44214BCB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(Investigação das causas relacionadas ao diagnóstico identificado)</w:t>
            </w:r>
          </w:p>
        </w:tc>
      </w:tr>
      <w:tr w:rsidR="00D100CC" w:rsidRPr="00D100CC" w14:paraId="22FE2500" w14:textId="77777777" w:rsidTr="00D100CC">
        <w:trPr>
          <w:trHeight w:val="484"/>
        </w:trPr>
        <w:tc>
          <w:tcPr>
            <w:tcW w:w="561" w:type="pct"/>
            <w:vMerge/>
          </w:tcPr>
          <w:p w14:paraId="6F11EF59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auto"/>
          </w:tcPr>
          <w:p w14:paraId="1E182A70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Objetivo</w:t>
            </w:r>
          </w:p>
        </w:tc>
        <w:tc>
          <w:tcPr>
            <w:tcW w:w="3806" w:type="pct"/>
            <w:gridSpan w:val="7"/>
            <w:shd w:val="clear" w:color="auto" w:fill="auto"/>
          </w:tcPr>
          <w:p w14:paraId="2020BCF7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(Definir o objetivo de melhoria a ser alcançado)</w:t>
            </w:r>
          </w:p>
        </w:tc>
      </w:tr>
      <w:tr w:rsidR="00D100CC" w:rsidRPr="00D100CC" w14:paraId="0B7AAB63" w14:textId="77777777" w:rsidTr="00D100CC">
        <w:trPr>
          <w:trHeight w:val="611"/>
        </w:trPr>
        <w:tc>
          <w:tcPr>
            <w:tcW w:w="561" w:type="pct"/>
            <w:vMerge/>
          </w:tcPr>
          <w:p w14:paraId="0ADE3F9A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auto"/>
          </w:tcPr>
          <w:p w14:paraId="0B3ABF2E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Metas e Indicadores</w:t>
            </w:r>
          </w:p>
        </w:tc>
        <w:tc>
          <w:tcPr>
            <w:tcW w:w="3806" w:type="pct"/>
            <w:gridSpan w:val="7"/>
            <w:shd w:val="clear" w:color="auto" w:fill="auto"/>
          </w:tcPr>
          <w:p w14:paraId="67C4FF15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(Metas possíveis e indicadores para monitoramento. Customização do plano de ação)</w:t>
            </w:r>
          </w:p>
        </w:tc>
      </w:tr>
      <w:tr w:rsidR="00D100CC" w:rsidRPr="00D100CC" w14:paraId="6FE17012" w14:textId="77777777" w:rsidTr="00D100CC">
        <w:trPr>
          <w:trHeight w:val="661"/>
        </w:trPr>
        <w:tc>
          <w:tcPr>
            <w:tcW w:w="561" w:type="pct"/>
            <w:vMerge/>
          </w:tcPr>
          <w:p w14:paraId="7C0DB7DF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439" w:type="pct"/>
            <w:gridSpan w:val="8"/>
            <w:shd w:val="clear" w:color="auto" w:fill="D4A201"/>
          </w:tcPr>
          <w:p w14:paraId="3553EE15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>Plano de Ação</w:t>
            </w:r>
          </w:p>
        </w:tc>
      </w:tr>
      <w:tr w:rsidR="00D100CC" w:rsidRPr="00D100CC" w14:paraId="00B6A3A2" w14:textId="77777777" w:rsidTr="00D100CC">
        <w:trPr>
          <w:trHeight w:val="142"/>
        </w:trPr>
        <w:tc>
          <w:tcPr>
            <w:tcW w:w="561" w:type="pct"/>
            <w:vMerge/>
          </w:tcPr>
          <w:p w14:paraId="36955794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D4A201"/>
            <w:vAlign w:val="center"/>
          </w:tcPr>
          <w:p w14:paraId="1A4D981E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1038" w:type="pct"/>
            <w:gridSpan w:val="2"/>
            <w:shd w:val="clear" w:color="auto" w:fill="D4A201"/>
            <w:vAlign w:val="center"/>
          </w:tcPr>
          <w:p w14:paraId="2DD17816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Como</w:t>
            </w:r>
          </w:p>
        </w:tc>
        <w:tc>
          <w:tcPr>
            <w:tcW w:w="494" w:type="pct"/>
            <w:shd w:val="clear" w:color="auto" w:fill="D4A201"/>
            <w:vAlign w:val="center"/>
          </w:tcPr>
          <w:p w14:paraId="57F8BEE1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626" w:type="pct"/>
            <w:shd w:val="clear" w:color="auto" w:fill="D4A201"/>
            <w:vAlign w:val="center"/>
          </w:tcPr>
          <w:p w14:paraId="7CBFA43D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Participantes</w:t>
            </w:r>
          </w:p>
        </w:tc>
        <w:tc>
          <w:tcPr>
            <w:tcW w:w="657" w:type="pct"/>
            <w:gridSpan w:val="2"/>
            <w:shd w:val="clear" w:color="auto" w:fill="D4A201"/>
            <w:vAlign w:val="center"/>
          </w:tcPr>
          <w:p w14:paraId="5F0CA494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Prazo</w:t>
            </w:r>
          </w:p>
        </w:tc>
        <w:tc>
          <w:tcPr>
            <w:tcW w:w="992" w:type="pct"/>
            <w:shd w:val="clear" w:color="auto" w:fill="D4A201"/>
            <w:vAlign w:val="center"/>
          </w:tcPr>
          <w:p w14:paraId="0312BBAE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D100CC" w:rsidRPr="00D100CC" w14:paraId="7FEB6F63" w14:textId="77777777" w:rsidTr="00D100CC">
        <w:trPr>
          <w:trHeight w:val="516"/>
        </w:trPr>
        <w:tc>
          <w:tcPr>
            <w:tcW w:w="561" w:type="pct"/>
            <w:vMerge/>
          </w:tcPr>
          <w:p w14:paraId="79B031C7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77728B68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38" w:type="pct"/>
            <w:gridSpan w:val="2"/>
            <w:shd w:val="clear" w:color="auto" w:fill="auto"/>
            <w:vAlign w:val="center"/>
          </w:tcPr>
          <w:p w14:paraId="005B0601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94" w:type="pct"/>
            <w:shd w:val="clear" w:color="auto" w:fill="auto"/>
            <w:vAlign w:val="center"/>
          </w:tcPr>
          <w:p w14:paraId="3F01F329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48DA3879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57" w:type="pct"/>
            <w:gridSpan w:val="2"/>
            <w:shd w:val="clear" w:color="auto" w:fill="auto"/>
            <w:vAlign w:val="center"/>
          </w:tcPr>
          <w:p w14:paraId="76B5543E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pct"/>
            <w:shd w:val="clear" w:color="auto" w:fill="auto"/>
            <w:vAlign w:val="center"/>
          </w:tcPr>
          <w:p w14:paraId="256DCA02" w14:textId="77777777" w:rsidR="00D100CC" w:rsidRPr="00D100CC" w:rsidRDefault="00D100CC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2659D89C" w14:textId="77777777" w:rsidTr="00D100CC">
        <w:trPr>
          <w:gridAfter w:val="8"/>
          <w:wAfter w:w="4439" w:type="pct"/>
          <w:trHeight w:val="276"/>
        </w:trPr>
        <w:tc>
          <w:tcPr>
            <w:tcW w:w="561" w:type="pct"/>
            <w:vMerge/>
          </w:tcPr>
          <w:p w14:paraId="061D1FCE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6FA34BDF" w14:textId="77777777" w:rsidTr="00D100CC">
        <w:trPr>
          <w:gridAfter w:val="8"/>
          <w:wAfter w:w="4439" w:type="pct"/>
          <w:trHeight w:val="276"/>
        </w:trPr>
        <w:tc>
          <w:tcPr>
            <w:tcW w:w="561" w:type="pct"/>
            <w:vMerge/>
          </w:tcPr>
          <w:p w14:paraId="5FD7AA0B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0A23A940" w14:textId="77777777" w:rsidTr="00D100CC">
        <w:trPr>
          <w:gridAfter w:val="8"/>
          <w:wAfter w:w="4439" w:type="pct"/>
          <w:trHeight w:val="480"/>
        </w:trPr>
        <w:tc>
          <w:tcPr>
            <w:tcW w:w="561" w:type="pct"/>
            <w:vMerge/>
          </w:tcPr>
          <w:p w14:paraId="66A2AF15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D100CC" w:rsidRPr="00D100CC" w14:paraId="220AE3DB" w14:textId="77777777" w:rsidTr="00D100CC">
        <w:trPr>
          <w:trHeight w:val="239"/>
        </w:trPr>
        <w:tc>
          <w:tcPr>
            <w:tcW w:w="5000" w:type="pct"/>
            <w:gridSpan w:val="9"/>
            <w:shd w:val="clear" w:color="auto" w:fill="D4A201"/>
          </w:tcPr>
          <w:p w14:paraId="1520AFF4" w14:textId="77777777" w:rsidR="00D100CC" w:rsidRPr="00D100CC" w:rsidRDefault="00D100CC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</w:rPr>
            </w:pPr>
            <w:r w:rsidRPr="00D100CC">
              <w:rPr>
                <w:rFonts w:asciiTheme="minorHAnsi" w:hAnsiTheme="minorHAnsi" w:cstheme="minorHAnsi"/>
                <w:b/>
                <w:color w:val="FFFFFF" w:themeColor="background1"/>
              </w:rPr>
              <w:t>Fazer (D)</w:t>
            </w:r>
          </w:p>
        </w:tc>
      </w:tr>
      <w:tr w:rsidR="00D100CC" w:rsidRPr="00D100CC" w14:paraId="714A04EB" w14:textId="77777777" w:rsidTr="00D100CC">
        <w:trPr>
          <w:trHeight w:val="273"/>
        </w:trPr>
        <w:tc>
          <w:tcPr>
            <w:tcW w:w="561" w:type="pct"/>
            <w:vMerge w:val="restart"/>
            <w:shd w:val="clear" w:color="auto" w:fill="FFFFFF" w:themeFill="background1"/>
          </w:tcPr>
          <w:p w14:paraId="16D41596" w14:textId="77777777" w:rsidR="00D100CC" w:rsidRPr="00D100CC" w:rsidRDefault="00D100CC" w:rsidP="006F5CE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614CEAD7" w14:textId="77777777" w:rsidR="00D100CC" w:rsidRPr="00D100CC" w:rsidRDefault="00D100CC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F76ECD7" wp14:editId="2068CF38">
                  <wp:extent cx="594360" cy="594360"/>
                  <wp:effectExtent l="0" t="0" r="0" b="0"/>
                  <wp:docPr id="67" name="Imagem 67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pct"/>
            <w:gridSpan w:val="8"/>
            <w:shd w:val="clear" w:color="auto" w:fill="auto"/>
            <w:vAlign w:val="center"/>
          </w:tcPr>
          <w:p w14:paraId="5EDA21A8" w14:textId="77777777" w:rsidR="00D100CC" w:rsidRPr="00D100CC" w:rsidRDefault="00D100CC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Atividades de Dispersão</w:t>
            </w:r>
          </w:p>
        </w:tc>
      </w:tr>
      <w:tr w:rsidR="00D100CC" w:rsidRPr="00D100CC" w14:paraId="329EE9CC" w14:textId="77777777" w:rsidTr="00D100CC">
        <w:trPr>
          <w:trHeight w:val="480"/>
        </w:trPr>
        <w:tc>
          <w:tcPr>
            <w:tcW w:w="561" w:type="pct"/>
            <w:vMerge/>
          </w:tcPr>
          <w:p w14:paraId="3FAB91E0" w14:textId="77777777" w:rsidR="00D100CC" w:rsidRPr="00D100CC" w:rsidRDefault="00D100CC" w:rsidP="006F5CEF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4439" w:type="pct"/>
            <w:gridSpan w:val="8"/>
            <w:shd w:val="clear" w:color="auto" w:fill="auto"/>
            <w:vAlign w:val="center"/>
          </w:tcPr>
          <w:p w14:paraId="3408046F" w14:textId="77777777" w:rsidR="00D100CC" w:rsidRPr="00D100CC" w:rsidRDefault="00D100CC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D100CC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Registre aqui informações importantes no período de dispersão.</w:t>
            </w:r>
          </w:p>
        </w:tc>
      </w:tr>
    </w:tbl>
    <w:p w14:paraId="410B1087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522C5FCA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6085E435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0B90A4F1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4714634E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74327230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4E5386E2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p w14:paraId="756A7838" w14:textId="77777777" w:rsidR="001637E7" w:rsidRPr="00D100CC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sectPr w:rsidR="001637E7" w:rsidRPr="00D100CC" w:rsidSect="001637E7">
      <w:headerReference w:type="even" r:id="rId14"/>
      <w:headerReference w:type="default" r:id="rId15"/>
      <w:headerReference w:type="first" r:id="rId16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620CF" w14:textId="77777777" w:rsidR="00A21572" w:rsidRDefault="00A21572" w:rsidP="00086E8F">
      <w:r>
        <w:separator/>
      </w:r>
    </w:p>
  </w:endnote>
  <w:endnote w:type="continuationSeparator" w:id="0">
    <w:p w14:paraId="01CE8814" w14:textId="77777777" w:rsidR="00A21572" w:rsidRDefault="00A21572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B8E19" w14:textId="77777777" w:rsidR="00A21572" w:rsidRDefault="00A21572" w:rsidP="00086E8F">
      <w:r>
        <w:separator/>
      </w:r>
    </w:p>
  </w:footnote>
  <w:footnote w:type="continuationSeparator" w:id="0">
    <w:p w14:paraId="09CAE283" w14:textId="77777777" w:rsidR="00A21572" w:rsidRDefault="00A21572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4793B76C" w:rsidR="0004363E" w:rsidRDefault="00A74C0A">
    <w:pPr>
      <w:pStyle w:val="Cabealho"/>
    </w:pPr>
    <w:r>
      <w:rPr>
        <w:noProof/>
      </w:rPr>
      <w:pict w14:anchorId="08F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1" o:spid="_x0000_s2080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61C9F932" w:rsidR="00234947" w:rsidRDefault="00A74C0A" w:rsidP="006D6E7C">
    <w:pPr>
      <w:pStyle w:val="Cabealho"/>
    </w:pPr>
    <w:r>
      <w:rPr>
        <w:noProof/>
      </w:rPr>
      <w:pict w14:anchorId="4D3B9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81142" o:spid="_x0000_s2082" type="#_x0000_t75" style="position:absolute;margin-left:47.9pt;margin-top:-69.9pt;width:679.45pt;height:595.2pt;z-index:-251656192;mso-position-horizontal-relative:margin;mso-position-vertical-relative:margin" o:allowincell="f">
          <v:imagedata r:id="rId1" o:title="Template Matrizes Etapa 6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DAF89BB" w:rsidR="0004363E" w:rsidRDefault="00A74C0A">
    <w:pPr>
      <w:pStyle w:val="Cabealho"/>
    </w:pPr>
    <w:r>
      <w:rPr>
        <w:noProof/>
      </w:rPr>
      <w:pict w14:anchorId="1243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0" o:spid="_x0000_s2079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8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37E7"/>
    <w:rsid w:val="00164F6C"/>
    <w:rsid w:val="00165F99"/>
    <w:rsid w:val="00171677"/>
    <w:rsid w:val="00177C7C"/>
    <w:rsid w:val="00181BC9"/>
    <w:rsid w:val="00186E7D"/>
    <w:rsid w:val="00187DFE"/>
    <w:rsid w:val="00190B4E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1528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524D8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E1D75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3E8F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9772B"/>
    <w:rsid w:val="009A12CB"/>
    <w:rsid w:val="009A1BC0"/>
    <w:rsid w:val="009A6622"/>
    <w:rsid w:val="009B1125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572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0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00CC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31B3"/>
    <w:rsid w:val="00D67414"/>
    <w:rsid w:val="00D70A7F"/>
    <w:rsid w:val="00D730C0"/>
    <w:rsid w:val="00D8080F"/>
    <w:rsid w:val="00D86DE7"/>
    <w:rsid w:val="00DB0C20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44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763E8F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8A475A-7FB7-4D54-B5D6-805AE03A3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610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2022-03-07T18:16:00Z</cp:lastPrinted>
  <dcterms:created xsi:type="dcterms:W3CDTF">2022-03-14T14:33:00Z</dcterms:created>
  <dcterms:modified xsi:type="dcterms:W3CDTF">2022-03-14T14:33:00Z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